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E4" w:rsidRPr="00332FE4" w:rsidRDefault="00332FE4" w:rsidP="00332FE4">
      <w:pPr>
        <w:keepNext/>
        <w:pageBreakBefore/>
        <w:spacing w:after="420" w:line="360" w:lineRule="auto"/>
        <w:ind w:left="794" w:hanging="794"/>
        <w:outlineLvl w:val="0"/>
        <w:rPr>
          <w:rFonts w:ascii="Arial Bold" w:eastAsia="Times New Roman" w:hAnsi="Arial Bold" w:cs="Arial"/>
          <w:b/>
          <w:color w:val="1F497D" w:themeColor="text2"/>
          <w:sz w:val="28"/>
          <w:szCs w:val="32"/>
        </w:rPr>
      </w:pPr>
      <w:bookmarkStart w:id="0" w:name="_Toc464911767"/>
      <w:r w:rsidRPr="00332FE4">
        <w:rPr>
          <w:rFonts w:ascii="Arial Bold" w:eastAsia="Times New Roman" w:hAnsi="Arial Bold" w:cs="Arial"/>
          <w:b/>
          <w:color w:val="1F497D" w:themeColor="text2"/>
          <w:sz w:val="28"/>
          <w:szCs w:val="32"/>
        </w:rPr>
        <w:t xml:space="preserve">Appendix 1: </w:t>
      </w:r>
      <w:r w:rsidR="00536AF0">
        <w:rPr>
          <w:rFonts w:ascii="Arial Bold" w:eastAsia="Times New Roman" w:hAnsi="Arial Bold" w:cs="Arial"/>
          <w:b/>
          <w:color w:val="1F497D" w:themeColor="text2"/>
          <w:sz w:val="28"/>
          <w:szCs w:val="32"/>
        </w:rPr>
        <w:t xml:space="preserve">LSC </w:t>
      </w:r>
      <w:r w:rsidRPr="00332FE4">
        <w:rPr>
          <w:rFonts w:ascii="Arial Bold" w:eastAsia="Times New Roman" w:hAnsi="Arial Bold" w:cs="Arial"/>
          <w:b/>
          <w:color w:val="1F497D" w:themeColor="text2"/>
          <w:sz w:val="28"/>
          <w:szCs w:val="32"/>
        </w:rPr>
        <w:t>Risk Appetite Statement</w:t>
      </w:r>
      <w:bookmarkEnd w:id="0"/>
      <w:r w:rsidRPr="00332FE4">
        <w:rPr>
          <w:rFonts w:ascii="Arial Bold" w:eastAsia="Times New Roman" w:hAnsi="Arial Bold" w:cs="Arial"/>
          <w:b/>
          <w:color w:val="1F497D" w:themeColor="text2"/>
          <w:sz w:val="28"/>
          <w:szCs w:val="32"/>
        </w:rPr>
        <w:t xml:space="preserve"> </w:t>
      </w:r>
    </w:p>
    <w:tbl>
      <w:tblPr>
        <w:tblW w:w="16195" w:type="dxa"/>
        <w:tblInd w:w="-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7"/>
        <w:gridCol w:w="3712"/>
        <w:gridCol w:w="3827"/>
        <w:gridCol w:w="4429"/>
      </w:tblGrid>
      <w:tr w:rsidR="00332FE4" w:rsidRPr="00332FE4" w:rsidTr="00257DFC">
        <w:trPr>
          <w:trHeight w:val="702"/>
        </w:trPr>
        <w:tc>
          <w:tcPr>
            <w:tcW w:w="4227" w:type="dxa"/>
            <w:tcBorders>
              <w:top w:val="single" w:sz="6" w:space="0" w:color="002464"/>
              <w:left w:val="single" w:sz="6" w:space="0" w:color="002464"/>
              <w:bottom w:val="single" w:sz="6" w:space="0" w:color="002464"/>
              <w:right w:val="nil"/>
            </w:tcBorders>
            <w:shd w:val="clear" w:color="auto" w:fill="1F497D" w:themeFill="text2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2FE4" w:rsidRPr="00536AF0" w:rsidRDefault="00332FE4" w:rsidP="00FF4C07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AF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Advice</w:t>
            </w:r>
            <w:r w:rsidR="00FF4C07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/Customer Service</w:t>
            </w:r>
          </w:p>
        </w:tc>
        <w:tc>
          <w:tcPr>
            <w:tcW w:w="3712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1F497D" w:themeFill="text2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2FE4" w:rsidRPr="00536AF0" w:rsidRDefault="00332FE4" w:rsidP="00332F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AF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Project , Transaction &amp; Business Management</w:t>
            </w:r>
          </w:p>
        </w:tc>
        <w:tc>
          <w:tcPr>
            <w:tcW w:w="3827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1F497D" w:themeFill="text2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2FE4" w:rsidRPr="00536AF0" w:rsidRDefault="00332FE4" w:rsidP="00332F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AF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Budgeting, Forecasting &amp; Financial Reporting</w:t>
            </w:r>
          </w:p>
        </w:tc>
        <w:tc>
          <w:tcPr>
            <w:tcW w:w="4429" w:type="dxa"/>
            <w:tcBorders>
              <w:top w:val="single" w:sz="6" w:space="0" w:color="002464"/>
              <w:left w:val="nil"/>
              <w:bottom w:val="single" w:sz="6" w:space="0" w:color="002464"/>
              <w:right w:val="single" w:sz="6" w:space="0" w:color="002464"/>
            </w:tcBorders>
            <w:shd w:val="clear" w:color="auto" w:fill="1F497D" w:themeFill="text2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332FE4" w:rsidRPr="00536AF0" w:rsidRDefault="00332FE4" w:rsidP="00332F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AF0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</w:rPr>
              <w:t>People &amp; Capability</w:t>
            </w:r>
          </w:p>
        </w:tc>
      </w:tr>
      <w:tr w:rsidR="00332FE4" w:rsidRPr="00332FE4" w:rsidTr="00257DFC">
        <w:trPr>
          <w:trHeight w:val="284"/>
        </w:trPr>
        <w:tc>
          <w:tcPr>
            <w:tcW w:w="4227" w:type="dxa"/>
            <w:tcBorders>
              <w:top w:val="single" w:sz="6" w:space="0" w:color="002464"/>
              <w:left w:val="single" w:sz="6" w:space="0" w:color="002464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332FE4" w:rsidRPr="00332FE4" w:rsidRDefault="00332FE4" w:rsidP="00332FE4">
            <w:pPr>
              <w:spacing w:after="0" w:line="284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332FE4">
              <w:rPr>
                <w:rFonts w:ascii="Arial" w:eastAsia="Times New Roman" w:hAnsi="Arial" w:cs="Arial"/>
                <w:b/>
                <w:bCs/>
                <w:color w:val="585858"/>
                <w:kern w:val="24"/>
                <w:sz w:val="20"/>
                <w:szCs w:val="20"/>
              </w:rPr>
              <w:t> </w:t>
            </w:r>
          </w:p>
        </w:tc>
        <w:tc>
          <w:tcPr>
            <w:tcW w:w="3712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332FE4" w:rsidRPr="00332FE4" w:rsidRDefault="00332FE4" w:rsidP="00332FE4">
            <w:pPr>
              <w:spacing w:after="0" w:line="284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332FE4">
              <w:rPr>
                <w:rFonts w:ascii="Arial" w:eastAsia="Times New Roman" w:hAnsi="Arial" w:cs="Arial"/>
                <w:color w:val="585858"/>
                <w:kern w:val="24"/>
                <w:sz w:val="20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332FE4" w:rsidRPr="00332FE4" w:rsidRDefault="00332FE4" w:rsidP="00332FE4">
            <w:pPr>
              <w:spacing w:after="0" w:line="284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332FE4">
              <w:rPr>
                <w:rFonts w:ascii="Arial" w:eastAsia="Times New Roman" w:hAnsi="Arial" w:cs="Arial"/>
                <w:color w:val="585858"/>
                <w:kern w:val="24"/>
                <w:sz w:val="20"/>
                <w:szCs w:val="20"/>
              </w:rPr>
              <w:t> </w:t>
            </w:r>
          </w:p>
        </w:tc>
        <w:tc>
          <w:tcPr>
            <w:tcW w:w="4429" w:type="dxa"/>
            <w:tcBorders>
              <w:top w:val="single" w:sz="6" w:space="0" w:color="002464"/>
              <w:left w:val="nil"/>
              <w:bottom w:val="single" w:sz="6" w:space="0" w:color="002464"/>
              <w:right w:val="single" w:sz="6" w:space="0" w:color="002464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332FE4" w:rsidRPr="00332FE4" w:rsidRDefault="00332FE4" w:rsidP="00332FE4">
            <w:pPr>
              <w:spacing w:after="0" w:line="284" w:lineRule="atLeast"/>
              <w:rPr>
                <w:rFonts w:ascii="Arial" w:eastAsia="Times New Roman" w:hAnsi="Arial" w:cs="Arial"/>
                <w:sz w:val="36"/>
                <w:szCs w:val="36"/>
              </w:rPr>
            </w:pPr>
            <w:r w:rsidRPr="00332FE4">
              <w:rPr>
                <w:rFonts w:ascii="Arial" w:eastAsia="Times New Roman" w:hAnsi="Arial" w:cs="Arial"/>
                <w:color w:val="585858"/>
                <w:kern w:val="24"/>
                <w:sz w:val="20"/>
                <w:szCs w:val="20"/>
              </w:rPr>
              <w:t> </w:t>
            </w:r>
          </w:p>
        </w:tc>
      </w:tr>
      <w:tr w:rsidR="00332FE4" w:rsidRPr="00332FE4" w:rsidTr="00257DFC">
        <w:trPr>
          <w:trHeight w:val="6106"/>
        </w:trPr>
        <w:tc>
          <w:tcPr>
            <w:tcW w:w="4227" w:type="dxa"/>
            <w:tcBorders>
              <w:top w:val="single" w:sz="6" w:space="0" w:color="002464"/>
              <w:left w:val="single" w:sz="6" w:space="0" w:color="002464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0A3069" w:rsidRPr="000A3069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Provide quality, independent and objective advice so that we:</w:t>
            </w:r>
          </w:p>
          <w:p w:rsidR="00332FE4" w:rsidRPr="00E74840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strengthen our trusted advisor status with the Treasurer and Premier</w:t>
            </w:r>
          </w:p>
          <w:p w:rsidR="00FF4C07" w:rsidRPr="000A3069" w:rsidRDefault="00332FE4" w:rsidP="000A3069">
            <w:pPr>
              <w:numPr>
                <w:ilvl w:val="1"/>
                <w:numId w:val="1"/>
              </w:numPr>
              <w:spacing w:after="36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avoid an unanticipated impact on State finances of +/- $500m</w:t>
            </w:r>
          </w:p>
          <w:p w:rsidR="000A3069" w:rsidRPr="00E74840" w:rsidRDefault="000A3069" w:rsidP="000A3069">
            <w:pPr>
              <w:spacing w:after="36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Drive achievement of Fiscal Responsibility Act 2012 targets:</w:t>
            </w:r>
          </w:p>
          <w:p w:rsidR="00332FE4" w:rsidRPr="00E74840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maintain AAA credit rating</w:t>
            </w:r>
          </w:p>
          <w:p w:rsidR="00332FE4" w:rsidRPr="000A3069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keep expense growth below revenue growth</w:t>
            </w:r>
          </w:p>
          <w:p w:rsidR="000A3069" w:rsidRPr="00E74840" w:rsidRDefault="000A3069" w:rsidP="000A3069">
            <w:p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Securely maintain confidential and sensitive data and only disclose as required by contractual &amp; legislative obligations</w:t>
            </w:r>
          </w:p>
          <w:p w:rsidR="000A3069" w:rsidRPr="00E74840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FF4C07" w:rsidRPr="00E74840" w:rsidRDefault="00814434" w:rsidP="00FF4C0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* </w:t>
            </w:r>
            <w:r w:rsidR="00FF4C07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Implement a strong customer centric culture so that we have no more than one </w:t>
            </w:r>
            <w:proofErr w:type="gramStart"/>
            <w:r w:rsidR="00FF4C07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ministerial  concerning</w:t>
            </w:r>
            <w:proofErr w:type="gramEnd"/>
            <w:r w:rsidR="00FF4C07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a customer complaint</w:t>
            </w:r>
            <w:r w:rsidR="00342521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where LSC actions were incorrect</w:t>
            </w:r>
            <w:r w:rsidR="003F5881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per year</w:t>
            </w:r>
          </w:p>
        </w:tc>
        <w:tc>
          <w:tcPr>
            <w:tcW w:w="3712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0A3069" w:rsidRPr="000A3069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Implement strong governance over all key projects, transactions and BAU activities to ensure:</w:t>
            </w:r>
          </w:p>
          <w:p w:rsidR="00332FE4" w:rsidRPr="00E74840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effective decision making </w:t>
            </w:r>
          </w:p>
          <w:p w:rsidR="00332FE4" w:rsidRPr="00E74840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clear accountabilities and responsibilities</w:t>
            </w:r>
          </w:p>
          <w:p w:rsidR="00332FE4" w:rsidRPr="000A3069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timely &amp; quality delivery</w:t>
            </w:r>
          </w:p>
          <w:p w:rsidR="000A3069" w:rsidRPr="00E74840" w:rsidRDefault="000A3069" w:rsidP="000A3069">
            <w:pPr>
              <w:spacing w:after="0" w:line="240" w:lineRule="auto"/>
              <w:ind w:left="144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100% compliance with applicable policies, legislation &amp; regulation</w:t>
            </w:r>
          </w:p>
          <w:p w:rsidR="000A3069" w:rsidRPr="00E74840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No successful litigation claims against NSW Treasury</w:t>
            </w:r>
            <w:r w:rsidR="0008178D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and/</w:t>
            </w:r>
            <w:r w:rsidR="0008178D" w:rsidRPr="00237F75">
              <w:rPr>
                <w:rFonts w:ascii="Arial" w:eastAsia="Times New Roman" w:hAnsi="Arial" w:cs="Arial"/>
                <w:kern w:val="24"/>
                <w:sz w:val="16"/>
                <w:szCs w:val="16"/>
              </w:rPr>
              <w:t>or the LSC</w:t>
            </w:r>
          </w:p>
        </w:tc>
        <w:tc>
          <w:tcPr>
            <w:tcW w:w="3827" w:type="dxa"/>
            <w:tcBorders>
              <w:top w:val="single" w:sz="6" w:space="0" w:color="002464"/>
              <w:left w:val="nil"/>
              <w:bottom w:val="single" w:sz="6" w:space="0" w:color="002464"/>
              <w:right w:val="nil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0A3069" w:rsidRPr="000A3069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Excellence in budgeting and forecasting demonstrated by:</w:t>
            </w:r>
          </w:p>
          <w:p w:rsidR="00342521" w:rsidRPr="00D708F6" w:rsidRDefault="00342521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gross budget variance for non-systemic items &lt;$1m for revenue and </w:t>
            </w:r>
            <w:r w:rsidR="00D708F6">
              <w:rPr>
                <w:rFonts w:ascii="Arial" w:eastAsia="Times New Roman" w:hAnsi="Arial" w:cs="Arial"/>
                <w:kern w:val="24"/>
                <w:sz w:val="16"/>
                <w:szCs w:val="16"/>
              </w:rPr>
              <w:t>&lt;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$2m for expenditure</w:t>
            </w:r>
          </w:p>
          <w:p w:rsidR="00D708F6" w:rsidRPr="000A3069" w:rsidRDefault="00D708F6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kern w:val="24"/>
                <w:sz w:val="16"/>
                <w:szCs w:val="16"/>
              </w:rPr>
              <w:t>adherence to NSW Public Sector Wages Policy (incl. 2.5% cap)</w:t>
            </w:r>
          </w:p>
          <w:p w:rsidR="000A3069" w:rsidRPr="00E74840" w:rsidRDefault="000A3069" w:rsidP="000A3069">
            <w:pPr>
              <w:spacing w:after="0" w:line="240" w:lineRule="auto"/>
              <w:ind w:left="144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E74840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Produce high quality, accurate and timely financial reporting and minimise public censure by the Audit Office of NSW:</w:t>
            </w:r>
          </w:p>
          <w:p w:rsidR="00332FE4" w:rsidRPr="00E74840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unqualified Auditor opinion on </w:t>
            </w:r>
            <w:r w:rsidR="00536AF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the LSC financial statements</w:t>
            </w:r>
          </w:p>
          <w:p w:rsidR="00332FE4" w:rsidRPr="000A3069" w:rsidRDefault="00332FE4" w:rsidP="000A3069">
            <w:pPr>
              <w:numPr>
                <w:ilvl w:val="1"/>
                <w:numId w:val="1"/>
              </w:numPr>
              <w:spacing w:after="0" w:line="240" w:lineRule="auto"/>
              <w:ind w:left="1097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Audit Office identify &lt; </w:t>
            </w:r>
            <w:r w:rsidR="00D708F6">
              <w:rPr>
                <w:rFonts w:ascii="Arial" w:eastAsia="Times New Roman" w:hAnsi="Arial" w:cs="Arial"/>
                <w:kern w:val="24"/>
                <w:sz w:val="16"/>
                <w:szCs w:val="16"/>
              </w:rPr>
              <w:t>2</w:t>
            </w:r>
            <w:r w:rsidR="00D708F6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errors above $20m</w:t>
            </w:r>
          </w:p>
          <w:p w:rsidR="000A3069" w:rsidRPr="00E74840" w:rsidRDefault="000A3069" w:rsidP="000A3069">
            <w:pPr>
              <w:spacing w:after="0" w:line="240" w:lineRule="auto"/>
              <w:ind w:left="144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Maintain sufficient liquidity to meet all </w:t>
            </w:r>
            <w:proofErr w:type="gramStart"/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short term</w:t>
            </w:r>
            <w:proofErr w:type="gramEnd"/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cash obligations as they fall due</w:t>
            </w:r>
          </w:p>
          <w:p w:rsidR="000A3069" w:rsidRPr="00E74840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332FE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Continually invest in IT infrastructure and applications to enable business strategy and ensure recovery of </w:t>
            </w:r>
            <w:r w:rsidR="00E7484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the payroll system within 24 hours and for other 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business critical systems within </w:t>
            </w:r>
            <w:r w:rsidR="00E7484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1 week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of a service </w:t>
            </w:r>
            <w:proofErr w:type="gramStart"/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interruption</w:t>
            </w:r>
            <w:r w:rsidR="00E7484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^</w:t>
            </w:r>
            <w:proofErr w:type="gramEnd"/>
          </w:p>
          <w:p w:rsidR="000A3069" w:rsidRPr="00E74840" w:rsidRDefault="000A3069" w:rsidP="000A3069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536AF0" w:rsidRPr="00E74840" w:rsidRDefault="00CB69A6" w:rsidP="0034252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Asset to liability coverage</w:t>
            </w:r>
            <w:r w:rsidR="00952D42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(ABRI)</w:t>
            </w:r>
            <w:r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</w:t>
            </w:r>
            <w:r w:rsidR="003F5881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>target</w:t>
            </w:r>
            <w:r w:rsidR="00D708F6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of 115% with a</w:t>
            </w:r>
            <w:r w:rsidR="003F5881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range of</w:t>
            </w:r>
            <w:r w:rsidR="00536AF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</w:t>
            </w:r>
            <w:r w:rsidR="00D708F6">
              <w:rPr>
                <w:rFonts w:ascii="Arial" w:eastAsia="Times New Roman" w:hAnsi="Arial" w:cs="Arial"/>
                <w:kern w:val="24"/>
                <w:sz w:val="16"/>
                <w:szCs w:val="16"/>
              </w:rPr>
              <w:t>105</w:t>
            </w:r>
            <w:r w:rsidR="00536AF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% - </w:t>
            </w:r>
            <w:r w:rsidR="00AF3689">
              <w:rPr>
                <w:rFonts w:ascii="Arial" w:eastAsia="Times New Roman" w:hAnsi="Arial" w:cs="Arial"/>
                <w:kern w:val="24"/>
                <w:sz w:val="16"/>
                <w:szCs w:val="16"/>
              </w:rPr>
              <w:t>125</w:t>
            </w:r>
            <w:bookmarkStart w:id="1" w:name="_GoBack"/>
            <w:bookmarkEnd w:id="1"/>
            <w:r w:rsidR="00536AF0" w:rsidRPr="00E74840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% </w:t>
            </w:r>
          </w:p>
        </w:tc>
        <w:tc>
          <w:tcPr>
            <w:tcW w:w="4429" w:type="dxa"/>
            <w:tcBorders>
              <w:top w:val="single" w:sz="6" w:space="0" w:color="002464"/>
              <w:left w:val="nil"/>
              <w:bottom w:val="single" w:sz="6" w:space="0" w:color="002464"/>
              <w:right w:val="single" w:sz="6" w:space="0" w:color="002464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:rsidR="000A3069" w:rsidRPr="000A3069" w:rsidRDefault="000A3069" w:rsidP="000A3069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257DFC" w:rsidRDefault="00332FE4" w:rsidP="000A30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Maintain zero tolerance for workplace injury and fatalities</w:t>
            </w:r>
          </w:p>
          <w:p w:rsidR="00257DFC" w:rsidRPr="000A3069" w:rsidRDefault="00257DFC" w:rsidP="00257DFC">
            <w:pPr>
              <w:pStyle w:val="ListParagraph"/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Drive superior People Matter Employee Survey results:</w:t>
            </w:r>
          </w:p>
          <w:p w:rsidR="00332FE4" w:rsidRPr="000A3069" w:rsidRDefault="00D708F6" w:rsidP="000A30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S</w:t>
            </w:r>
            <w:r w:rsidR="00332FE4"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urvey response rate is &gt; 75%</w:t>
            </w: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Engagement Index score is 5% better than Sector average</w:t>
            </w:r>
          </w:p>
          <w:p w:rsidR="00332FE4" w:rsidRPr="00257DFC" w:rsidRDefault="00D708F6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Scores </w:t>
            </w:r>
            <w:r w:rsidR="00332FE4"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are better than Sector average for all questions</w:t>
            </w:r>
          </w:p>
          <w:p w:rsidR="00257DFC" w:rsidRPr="000A3069" w:rsidRDefault="00257DFC" w:rsidP="00257DFC">
            <w:pPr>
              <w:pStyle w:val="ListParagraph"/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0A30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Develop talent by ensuring:</w:t>
            </w: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Performance &amp; Development Plans exist for all staff</w:t>
            </w: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succession plans exist for all critical roles</w:t>
            </w:r>
          </w:p>
          <w:p w:rsidR="000A3069" w:rsidRPr="000A3069" w:rsidRDefault="000A3069" w:rsidP="000A3069">
            <w:pPr>
              <w:pStyle w:val="ListParagraph"/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332FE4" w:rsidRPr="000A3069" w:rsidRDefault="00332FE4" w:rsidP="000A30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09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Demonstrate </w:t>
            </w:r>
            <w:r w:rsidR="0008178D"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the LSC</w:t>
            </w: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 xml:space="preserve"> is an Employer of Choice: </w:t>
            </w: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voluntary staff turnover is &lt; 10%</w:t>
            </w:r>
          </w:p>
          <w:p w:rsidR="00332FE4" w:rsidRPr="000A3069" w:rsidRDefault="00332FE4" w:rsidP="00257D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437"/>
              <w:rPr>
                <w:rFonts w:ascii="Arial" w:eastAsia="Times New Roman" w:hAnsi="Arial" w:cs="Arial"/>
                <w:sz w:val="16"/>
                <w:szCs w:val="16"/>
              </w:rPr>
            </w:pPr>
            <w:r w:rsidRPr="000A3069">
              <w:rPr>
                <w:rFonts w:ascii="Arial" w:eastAsia="Times New Roman" w:hAnsi="Arial" w:cs="Arial"/>
                <w:kern w:val="24"/>
                <w:sz w:val="16"/>
                <w:szCs w:val="16"/>
              </w:rPr>
              <w:t>promote staff mobility by ensuring the average number of years in the same role is &lt; 3 Years</w:t>
            </w:r>
          </w:p>
        </w:tc>
      </w:tr>
    </w:tbl>
    <w:p w:rsidR="00332FE4" w:rsidRPr="00332FE4" w:rsidRDefault="00332FE4" w:rsidP="00332FE4">
      <w:pPr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>^ Business Critical systems</w:t>
      </w:r>
      <w:r w:rsidR="00E74840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 e.g. </w:t>
      </w:r>
      <w:r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 </w:t>
      </w:r>
      <w:r w:rsidR="00E74840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WRS, Levies, Leave Track, Sun System, TRIM </w:t>
      </w:r>
      <w:r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Microsoft Outlook, and </w:t>
      </w:r>
      <w:r w:rsidR="00E74840">
        <w:rPr>
          <w:rFonts w:ascii="Arial" w:eastAsia="+mn-ea" w:hAnsi="Arial" w:cs="+mn-cs"/>
          <w:color w:val="002664"/>
          <w:kern w:val="24"/>
          <w:sz w:val="16"/>
          <w:szCs w:val="16"/>
        </w:rPr>
        <w:t>LSC</w:t>
      </w:r>
      <w:r w:rsidR="00E74840"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 </w:t>
      </w:r>
      <w:r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>Website / Intranet</w:t>
      </w:r>
    </w:p>
    <w:p w:rsidR="00814434" w:rsidRPr="00332FE4" w:rsidRDefault="00332FE4" w:rsidP="00332FE4">
      <w:pPr>
        <w:spacing w:before="38" w:after="0" w:line="240" w:lineRule="auto"/>
        <w:rPr>
          <w:rFonts w:ascii="Arial" w:eastAsia="+mn-ea" w:hAnsi="Arial" w:cs="+mn-cs"/>
          <w:color w:val="002664"/>
          <w:kern w:val="24"/>
          <w:sz w:val="16"/>
          <w:szCs w:val="16"/>
        </w:rPr>
      </w:pPr>
      <w:r w:rsidRPr="00332FE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   </w:t>
      </w:r>
      <w:r w:rsidR="003F5881">
        <w:rPr>
          <w:rFonts w:ascii="Arial" w:eastAsia="+mn-ea" w:hAnsi="Arial" w:cs="+mn-cs"/>
          <w:color w:val="002664"/>
          <w:kern w:val="24"/>
          <w:sz w:val="16"/>
          <w:szCs w:val="16"/>
        </w:rPr>
        <w:t>*</w:t>
      </w:r>
      <w:r w:rsidR="00D708F6">
        <w:rPr>
          <w:rFonts w:ascii="Arial" w:eastAsia="+mn-ea" w:hAnsi="Arial" w:cs="+mn-cs"/>
          <w:color w:val="002664"/>
          <w:kern w:val="24"/>
          <w:sz w:val="16"/>
          <w:szCs w:val="16"/>
        </w:rPr>
        <w:t>A</w:t>
      </w:r>
      <w:r w:rsidR="003F5881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 new c</w:t>
      </w:r>
      <w:r w:rsidR="0081443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ustomer complaint process is being implemented prior to end of </w:t>
      </w:r>
      <w:r w:rsidR="00347254">
        <w:rPr>
          <w:rFonts w:ascii="Arial" w:eastAsia="+mn-ea" w:hAnsi="Arial" w:cs="+mn-cs"/>
          <w:color w:val="002664"/>
          <w:kern w:val="24"/>
          <w:sz w:val="16"/>
          <w:szCs w:val="16"/>
        </w:rPr>
        <w:t xml:space="preserve">2017 </w:t>
      </w:r>
      <w:r w:rsidR="00814434">
        <w:rPr>
          <w:rFonts w:ascii="Arial" w:eastAsia="+mn-ea" w:hAnsi="Arial" w:cs="+mn-cs"/>
          <w:color w:val="002664"/>
          <w:kern w:val="24"/>
          <w:sz w:val="16"/>
          <w:szCs w:val="16"/>
        </w:rPr>
        <w:t>financial year.</w:t>
      </w:r>
    </w:p>
    <w:p w:rsidR="004B2A26" w:rsidRDefault="004B2A26"/>
    <w:sectPr w:rsidR="004B2A26" w:rsidSect="000A30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623"/>
    <w:multiLevelType w:val="hybridMultilevel"/>
    <w:tmpl w:val="9FA86C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26479"/>
    <w:multiLevelType w:val="hybridMultilevel"/>
    <w:tmpl w:val="A218E072"/>
    <w:lvl w:ilvl="0" w:tplc="333E5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184FF6">
      <w:start w:val="39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A4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84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6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85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A5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86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87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630577"/>
    <w:multiLevelType w:val="hybridMultilevel"/>
    <w:tmpl w:val="904EAA2A"/>
    <w:lvl w:ilvl="0" w:tplc="986A8C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23E8E">
      <w:start w:val="392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5E7A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CEE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23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4413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F28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7027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46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E4"/>
    <w:rsid w:val="0008178D"/>
    <w:rsid w:val="000A3069"/>
    <w:rsid w:val="00237F75"/>
    <w:rsid w:val="00257DFC"/>
    <w:rsid w:val="0029597E"/>
    <w:rsid w:val="002E1D45"/>
    <w:rsid w:val="003266EA"/>
    <w:rsid w:val="00332FE4"/>
    <w:rsid w:val="00342521"/>
    <w:rsid w:val="00347254"/>
    <w:rsid w:val="003F5881"/>
    <w:rsid w:val="0041152D"/>
    <w:rsid w:val="00416EA8"/>
    <w:rsid w:val="004B2A26"/>
    <w:rsid w:val="00536AF0"/>
    <w:rsid w:val="005C10D4"/>
    <w:rsid w:val="006D1076"/>
    <w:rsid w:val="00814434"/>
    <w:rsid w:val="008B7768"/>
    <w:rsid w:val="008D3D79"/>
    <w:rsid w:val="00952D42"/>
    <w:rsid w:val="00AF3689"/>
    <w:rsid w:val="00B031DE"/>
    <w:rsid w:val="00C2229D"/>
    <w:rsid w:val="00CB69A6"/>
    <w:rsid w:val="00CF4E9B"/>
    <w:rsid w:val="00D708F6"/>
    <w:rsid w:val="00E74840"/>
    <w:rsid w:val="00FB1095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21CC6"/>
  <w15:docId w15:val="{0636B8B9-8505-484B-A42D-BEA5C3BE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6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A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1290-6D0F-49D3-8876-28780B3E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ServiceFirst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Tinson</dc:creator>
  <cp:lastModifiedBy>Collom, Heidi</cp:lastModifiedBy>
  <cp:revision>2</cp:revision>
  <dcterms:created xsi:type="dcterms:W3CDTF">2018-01-07T23:55:00Z</dcterms:created>
  <dcterms:modified xsi:type="dcterms:W3CDTF">2018-01-07T23:55:00Z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A3701878</vt:lpwstr>
  </property>
  <property fmtid="{D5CDD505-2E9C-101B-9397-08002B2CF9AE}" pid="4" name="Objective-Title">
    <vt:lpwstr>08082017 LSC risk appettite statement endorsed</vt:lpwstr>
  </property>
  <property fmtid="{D5CDD505-2E9C-101B-9397-08002B2CF9AE}" pid="5" name="Objective-Comment">
    <vt:lpwstr/>
  </property>
  <property fmtid="{D5CDD505-2E9C-101B-9397-08002B2CF9AE}" pid="6" name="Objective-CreationStamp">
    <vt:filetime>2017-07-18T07:28:04Z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2017-08-08T04:17:00Z</vt:filetime>
  </property>
  <property fmtid="{D5CDD505-2E9C-101B-9397-08002B2CF9AE}" pid="11" name="Objective-Owner">
    <vt:lpwstr>Virginia Tinson</vt:lpwstr>
  </property>
  <property fmtid="{D5CDD505-2E9C-101B-9397-08002B2CF9AE}" pid="12" name="Objective-Path">
    <vt:lpwstr>Objective Global Folder:1. Treasury:1. Information Management Structure (TR):CORPORATE GROUP:Risk:Risk Appetite Statement:</vt:lpwstr>
  </property>
  <property fmtid="{D5CDD505-2E9C-101B-9397-08002B2CF9AE}" pid="13" name="Objective-Parent">
    <vt:lpwstr>Risk Appetite Statement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LM [system]">
    <vt:lpwstr>No Impact</vt:lpwstr>
  </property>
  <property fmtid="{D5CDD505-2E9C-101B-9397-08002B2CF9AE}" pid="22" name="Objective-Security Classification [system]">
    <vt:lpwstr>UNCLASSIFIED</vt:lpwstr>
  </property>
  <property fmtid="{D5CDD505-2E9C-101B-9397-08002B2CF9AE}" pid="23" name="Objective-Vital Record [system]">
    <vt:lpwstr>No</vt:lpwstr>
  </property>
  <property fmtid="{D5CDD505-2E9C-101B-9397-08002B2CF9AE}" pid="24" name="Objective-GIPA [system]">
    <vt:lpwstr>No</vt:lpwstr>
  </property>
  <property fmtid="{D5CDD505-2E9C-101B-9397-08002B2CF9AE}" pid="25" name="Objective-Additional Search Tags [system]">
    <vt:lpwstr/>
  </property>
</Properties>
</file>